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jc w:val="center"/>
      </w:pPr>
      <w:bookmarkStart w:id="0" w:name="_GoBack"/>
      <w:r>
        <w:rPr>
          <w:rFonts w:ascii="方正小标宋简体" w:hAnsi="方正小标宋简体" w:eastAsia="方正小标宋简体" w:cs="方正小标宋简体"/>
          <w:sz w:val="44"/>
          <w:szCs w:val="44"/>
        </w:rPr>
        <w:t>关于博山区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2022年国民经济和社会发展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计划执行情况与2023年计划（草案）的报告</w:t>
      </w:r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576" w:lineRule="exact"/>
        <w:ind w:right="0"/>
        <w:jc w:val="center"/>
      </w:pPr>
      <w:r>
        <w:rPr>
          <w:rFonts w:ascii="黑体" w:hAnsi="宋体" w:eastAsia="黑体" w:cs="黑体"/>
          <w:color w:val="000000"/>
          <w:spacing w:val="0"/>
          <w:sz w:val="32"/>
          <w:szCs w:val="32"/>
        </w:rPr>
        <w:t>——</w:t>
      </w: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</w:rPr>
        <w:t>2023</w:t>
      </w:r>
      <w:r>
        <w:rPr>
          <w:rFonts w:hint="eastAsia" w:ascii="楷体_GB2312" w:eastAsia="楷体_GB2312" w:cs="楷体_GB2312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楷体_GB2312" w:eastAsia="楷体_GB2312" w:cs="楷体_GB2312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楷体_GB2312" w:cs="Times New Roman"/>
          <w:color w:val="000000"/>
          <w:spacing w:val="0"/>
          <w:sz w:val="32"/>
          <w:szCs w:val="32"/>
        </w:rPr>
        <w:t>7</w:t>
      </w:r>
      <w:r>
        <w:rPr>
          <w:rFonts w:hint="eastAsia" w:ascii="楷体_GB2312" w:eastAsia="楷体_GB2312" w:cs="楷体_GB2312"/>
          <w:color w:val="000000"/>
          <w:spacing w:val="0"/>
          <w:sz w:val="32"/>
          <w:szCs w:val="32"/>
        </w:rPr>
        <w:t>日在博山区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576" w:lineRule="exact"/>
        <w:ind w:right="0"/>
        <w:jc w:val="center"/>
      </w:pPr>
      <w:r>
        <w:rPr>
          <w:rFonts w:hint="eastAsia" w:ascii="楷体_GB2312" w:eastAsia="楷体_GB2312" w:cs="楷体_GB2312"/>
          <w:color w:val="000000"/>
          <w:spacing w:val="0"/>
          <w:sz w:val="32"/>
          <w:szCs w:val="32"/>
        </w:rPr>
        <w:t>第十九届人民代表大会第二次会议上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576" w:lineRule="exact"/>
        <w:jc w:val="center"/>
      </w:pPr>
      <w:r>
        <w:rPr>
          <w:rFonts w:hint="eastAsia" w:ascii="楷体_GB2312" w:eastAsia="楷体_GB2312" w:cs="楷体_GB2312"/>
          <w:color w:val="000000"/>
          <w:sz w:val="32"/>
          <w:szCs w:val="32"/>
        </w:rPr>
        <w:t>博山区人民政府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</w:pPr>
      <w:r>
        <w:rPr>
          <w:rFonts w:ascii="仿宋_GB2312" w:eastAsia="仿宋_GB2312" w:cs="仿宋_GB2312"/>
          <w:color w:val="000000"/>
          <w:sz w:val="32"/>
          <w:szCs w:val="32"/>
        </w:rPr>
        <w:t>各位代表：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现将博山区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年国民经济和社会发展计划执行情况及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年计划草案报告如下，请审议，并请各位政协委员和其他列席人员提出意见。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  <w:textAlignment w:val="baseline"/>
      </w:pPr>
      <w:r>
        <w:rPr>
          <w:rFonts w:hint="eastAsia" w:ascii="黑体" w:hAnsi="宋体" w:eastAsia="黑体" w:cs="黑体"/>
          <w:sz w:val="32"/>
          <w:szCs w:val="32"/>
          <w:vertAlign w:val="baseline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</w:rPr>
        <w:t>2022</w:t>
      </w:r>
      <w:r>
        <w:rPr>
          <w:rFonts w:hint="eastAsia" w:ascii="黑体" w:hAnsi="宋体" w:eastAsia="黑体" w:cs="黑体"/>
          <w:sz w:val="32"/>
          <w:szCs w:val="32"/>
          <w:vertAlign w:val="baseline"/>
        </w:rPr>
        <w:t>年国民经济和社会发展计划执行情况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年，全区上下在区委的正确领导下，聚焦“产业振兴、环境优美、群众满意”三大目标，高效统筹抓好疫情防控和经济社会发展，各项事业取得新成效，发展态势稳中向好，预计全区地区生产总值完成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275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2.5%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；一般公共预算收入扣除留抵退税因素完成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18.54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；固定资产投资完成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88.13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25%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；外贸进出口完成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45.5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17.3%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；城乡居民人均可支配收入达到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4.24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6.3%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（一）动能转换持续增进，产业转型提速跨越。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在“优存量”上，实施总投资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494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亿元的省市区重点项目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135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135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亿元的重点技改项目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个，发放“技改专项贷”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4.83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亿元，数量及金额均居全市前列，博科高端干式真空泵、金晶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TCO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光伏玻璃等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个市重点项目建成投产；数字经济与实体经济深化融合，培育工业互联网应用示范企业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家，带动开展数字化、智能化改造企业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家，新增省级数字化车间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个、省级智能制造场景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个，新建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5G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基站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个、累计建成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607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个，培育两化融合贯标企业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家；积极构建优质企业梯度培育格局，新增国家级专精特新“小巨人”企业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家、省级“专精特新”中小企业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家、“瞪羚”企业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家、单项冠军企业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家、高新技术企业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家、科技型中小企业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家、省级创新平台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个、科技创新服务平台应用场景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处；紧抓金融赋能实体经济发展，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家企业进入上市辅导期，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家企业进入上市企业后备资源库，入库企业同比增长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57%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。在“扩增量”上，聚焦“六个一”招引机制，组织各类外出实地招引、视频连线等招商活动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余次，邀请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家外地企业来博洽谈，签约落地南京经纬达新能源汽车关键零部件制造与工程中心项目、优耐德（山东）通用汽油机风门自动调节电机项目、达芬骑电动摩托车金属加工和表面处理项目等，全年可实现新引进亿元以上重大产业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个，省外到位资金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46.4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亿元；全力抓好“一廊多园”建设，孝妇河科创走廊已实现入驻新经济企业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家，其中淄博龙工场跨境电商产业园开园运营，入驻商家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家；聚力建设机电泵、汽车智造、健康医药、新材料、氢能源、数字经济、预制食品、陶瓷琉璃、铸造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个特色产业园区，为产业加速崛起奠定坚实基础，其中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个园区开工建设、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个园区即将开工、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园区正在加快推进规划设计，同步开展项目招引落地，已入驻企业爱德曼氢燃料分布式发电设备投产、氢燃料发动机量产销售、北齿汽车零部件批量生产、康贝医疗试生产，中材汽车复合材料产业园全面施工，经纬达、优耐德等知名企业相继入驻建设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个项目达成入驻意向，产业发展势头强劲，为高质量发展持续注入新动能。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（二）美丽乡村扎实推进，乡村振兴成效明显。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加快发展特色农业，实施果宝鲜生数字化软枣猕猴桃园、马家沟软枣猕猴桃高标准农业园区等项目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个，新增“三品一标”绿色认证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个、省级乡土名品村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个，获批省级桔梗农业国际贸易高质量发展基地，“博山猕猴桃”成为全市唯一的“好品山东”区域类品牌。统筹抓好乡村建设，成立党组织领办合作社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家入选省级农民合作社示范社，村集体经济收入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万元以上的村达到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万元以上的村达到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个，成为全市首个农村产权交易服务站全覆盖的区县。金融赋能持续发力，推出全市首家“乡村振兴贷”，涉农贷款金额同比增长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37%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，举行乡村振兴项目签约暨“百企联百村”活动，集中签约项目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个，达成意向资金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37.6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亿元。完善乡村基础设施，新改建“四好农村路”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公里，改善路面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公里，硬化村内道路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万平方米，完成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个行政村生活污水治理，实现全区改厕户信息智能化管理，被农业农村部、国家乡村振兴局表彰为全国村庄清洁行动先进县，获评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个国家级传统村落、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个中国美丽休闲乡村、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个省级美丽乡村示范村。树牢耕地保护红线和粮食安全底线，全面推行“田长制”，开展撂荒耕地排查和复耕复种工作，建设高标准农田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1.43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万亩，推广水肥一体化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亩。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（三）文旅融合提质增效，服务业发展再上台阶。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全域旅游建设步伐加快，工业遗存活化利用项目颜神古镇正式开园，新晋网红打卡地红叶柿岩颜神里、岜山文体娱乐中心建成投用，淄博市委旧址、市委原机关礼堂红色教育基地项目主体完工；新增省级旅游民宿集聚区、省级夜间文旅消费集聚区、省级版权示范园区（基地）等各级荣誉表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余项。文旅推广多方位增强，成功承办省级现场会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个、市级现场会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个；作为国家文化出口基地在尼山世界儒商文化论坛上主题推介；博山焦裕禄纪念馆（故居）获批国家级红色教育服务标准化试点。文化“两创”持续传承发展，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家企业入选“山东手造 优选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”，博山陶瓷琉璃艺术中心入选全国第一批非遗旅游小镇，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人获评中国工艺美术大师，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人获评山东省工艺美术大师。公共文化服务水平不断完善，为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个文化薄弱村增配文化设施，打造农家书屋提质增效示范点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个、“书香淄博阅读吧”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个、文化驿站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家、城市书房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个，举办群众文化活动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余场，构建“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分钟文体休闲活动圈”。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（四）城市更新不断提升，生态环境显著改善。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城市功能日趋完善，改造城市供水管网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公里，完成城市雨污分流改造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公里，新建燃气管网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公里，铺设高温水管网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4.6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公里，新增供热面积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万平方米，改造提升峨嵋山路、泉水路等城市道路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条；改造提升青龙花园、赵家后门等老旧小区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个片区，改造面积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万平方米，惠及群众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2.4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万户；安装电动自行车充电桩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4046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个，汽车充电桩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800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个；路灯智能控制实现全覆盖。城市环境更加优美，新改建公园游园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处，完成中心路、沿河西路等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条路段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处外立面治理，新改建绿地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万平方米。生态环境进一步提升，实施淄河河道治理工程，创建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条美丽幸福河湖，南博山支流入选省级美丽幸福示范河湖，专项治理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256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个村自备井，新增造林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亩；全年优良天数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243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天，同比增加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天，优良率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66.6%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，同比改善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4.7%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；孝妇河西龙角出境断面主要指标达到地表水Ⅱ类标准，实现历史性突破。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（五）社会事业全面发展，民生福祉不断提高。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民生投入持续加大，财政支出占比达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77.06%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2.86%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项重大民生实事项目及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592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件区镇村民生实事项目全部完成。公共服务设施不断优化，新设立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岁以下婴幼儿托位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1280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个，千人口拥有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岁以下婴幼儿托位数达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3.12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，达标备案托育机构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家；新改建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所学校（幼儿园），人民路小学和人民路幼儿园在全市率先实现幼小衔接，新增优质学位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2160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个；建成中心村卫生室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处、“名医基层工作站”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处，升级改造智慧化接种门诊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家，源泉中心卫生院老年护理楼投入使用，完成区疾控中心标准化建设，成功创建为全省医养结合高质量发展创新引领县。稳就业政策全力落实，新增城镇就业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1616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人，招引青年人才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人，开发城乡公益性岗位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2115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人。保险事业进一步增强，企事业职工养老保险参保人数达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10.52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万人，基本医疗保险参保率实现稳定，达到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98%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以上，职工、居民医保门诊慢特病病种分别增加至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种、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种，报销比例提高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335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家定点医药机构开通省内“一卡通行”服务，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余家医疗机构开通跨省异地住院、门诊、慢性病等联网结算。城乡养老服务全覆盖，新建长者食堂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处和“五以七进”居家养老服务模式示范点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处，社区养老服务设施配建率达到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，在全市率先注册“博善颐养”养老服务品牌。食品安全强力监管，“山东食链”全力推广应用，激活率达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，发布食品安全红黑榜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期，开展食品抽检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2126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批次。社会救助政策全面落实，失能半失能特困人员集中供养率达到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62%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。双拥共建和退役军人服务保障持续深化，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个村级退役军人服务站创建为全国示范型退役军人服务站。扫黑除恶专项斗争实现常态化制度化，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接报刑事类警情同比下降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23.2%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，为全市最低，群众安全感进一步提升。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总体上看，尽管受疫情冲击，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我区经济和社会发展计划执行情况是好的，经济运行保持在合理区间，各项社会事业持续健康发展。但受疫情、贸易摩擦等不确定因素影响，绿色低碳高质量发展任务艰巨繁重，产业结构还需进一步优化提升，城乡建设、公共服务、社会民生、环境质量还需进一步推进改善，对于这些问题，将继续采取有力举措，努力加以解决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  <w:textAlignment w:val="baseline"/>
      </w:pPr>
      <w:r>
        <w:rPr>
          <w:rFonts w:hint="eastAsia" w:ascii="黑体" w:hAnsi="宋体" w:eastAsia="黑体" w:cs="黑体"/>
          <w:sz w:val="32"/>
          <w:szCs w:val="32"/>
          <w:vertAlign w:val="baseline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</w:rPr>
        <w:t>2023</w:t>
      </w:r>
      <w:r>
        <w:rPr>
          <w:rFonts w:hint="eastAsia" w:ascii="黑体" w:hAnsi="宋体" w:eastAsia="黑体" w:cs="黑体"/>
          <w:sz w:val="32"/>
          <w:szCs w:val="32"/>
          <w:vertAlign w:val="baseline"/>
        </w:rPr>
        <w:t>年国民经济和社会发展计划安排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年是实施“十四五”规划的重要一年，是深入贯彻落实党的二十大精神的开局之年，根据区委关于今年经济社会发展的总体部署，建议今年主要预期目标为：地区生产总值增长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左右；一般公共预算收入增长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；固定资产投资增长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以上；社会消费品零售总额、外贸进出口和实际使用外资保持稳定增长；城乡居民人均可支配收入增长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左右；全面完成省市下达的各项约束性指标。为完成以上预期目标，重点抓好以下工作：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（一）产业发展持续加力，经济运行平稳向好。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以突出抓好项目建设为统领，实施总投资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450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亿元的省市区重点项目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个，全要素保障支持企业做大做强。聚力优化传统产业，用足用好“技改专项贷”，实施总投资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140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亿元的重点技改项目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个；持续推广互联网应用，培育工业互联网示范企业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家，选树数字化转型示范企业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家，带动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家企业开展数字化、智能化改造；完善梯度培育体系，新增省级“瞪羚”企业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家以上、“专精特新”中小企业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家以上；实施科技创新赋能，创建省级以上创新平台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家、新增高新技术企业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家、培育高水平科技项目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个；实施金融赋能，力争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家企业进入上市辅导期，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家企业进入上市预辅导，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家企业入选上市后备资源库。强力突破新兴产业，发挥经开区省级双创基地作用，大力发展新能源装备产业，紧盯氢能、抽水蓄能、分布式光伏等新能源领域，加快推进总投资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亿元的质子交换膜电解水制氢设备、液氢泵、氢气压缩机、储氢瓶等氢能系列项目，打造氢能装备产业全链条；全力推进总投资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亿元的装机容量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兆瓦的抽水蓄能电站项目、东嘉新材料磷酸铁锂电池项目、金晶钙钛矿光伏技术开发产业链招引项目建设，力争“十四五”末新能源产业产值达到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亿元。全力推进园区建设，不断优化园区结构布局、基础配套，增强园区的承载和集聚能力，持续发力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个特色产业园区建设，汽车智造、数字经济、健康医药、新材料、机电泵、氢能源、预制食品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个产业园区建成投用，建成标准厂房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68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万平方米，入驻项目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个以上，使特色园区成为我区项目建设的主阵地、企业发展的主战场、产业升级的主载体。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  <w:textAlignment w:val="baseline"/>
      </w:pPr>
      <w:r>
        <w:rPr>
          <w:rStyle w:val="7"/>
          <w:rFonts w:hint="eastAsia" w:ascii="楷体_GB2312" w:eastAsia="楷体_GB2312" w:cs="楷体_GB2312"/>
          <w:sz w:val="32"/>
          <w:szCs w:val="32"/>
          <w:vertAlign w:val="baseline"/>
        </w:rPr>
        <w:t>（二）乡村振兴扎实推进，农业农村品质持续提升。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加快发展特色农业，抓好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万亩猕猴桃数字化示范园区等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8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个数字化引领项目、万亩道地药材等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7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个产业优化项目建设，力争培育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个优势特色产业集群；加强与中国农科院、西北农林科技大学等高等院校、科研院所合作，成立产业发展运营公司，推动科研成果落地转化，全产业链参与服务果业标准化种植、加工等环节。提升乡村基础设施，新改建“四好农村路”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26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公里，完善旱厕改造后续管护市场化运营机制；实施农村供水基础设施能力综合提升，实施老旧管网改造工程，不断提升农村供水服务水平；常态化开展农村人居环境大整治行动，全面提升农村人居环境质量。推动农民持续增收，进一步壮大村集体经济，加强与金融机构合作，涉农贷款发放额度同比增长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30%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以上；深化农村土地改革，赋予农民更加充分的财产权益；坚决守住不发生规模性返贫的底线，实现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处乡村振兴片区突破发展；实施乡村公益性岗位扩容提质行动，加强困难群体就业兜底帮扶。建立健全耕地保护长效机制，计划恢复耕地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vertAlign w:val="baseline"/>
        </w:rPr>
        <w:t>3000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vertAlign w:val="baseline"/>
        </w:rPr>
        <w:t>亩以上，努力争创全市耕地保护先进区县。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（三）文旅融合突破创新，现代服务业发展加快步伐。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培育壮大文旅业态，以齐长城国家文化公园为核心，以博山陶琉、山地石屋、工业遗存“三驾马车”作引领，策划推出石门片区山地石屋长廊、美陶艺术院校综合实训基地、鲁耐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+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珑山近现代工业文明展示带等文旅新项目；加快颜神古镇、岜山等项目提质增效，推进鲁山等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个景区和聂家峪等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个乡村旅游重点村焕发新活力，争创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3A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级以上旅游景区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个，争取省级文旅示范点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以上。优化提升服务质量，全面完善景区服务功能，加快智慧文旅建设，更新景区手绘图、语音讲解系统等，提升游览体验感。全力开展文化惠民行动，加快文化驿站、城市书房等新型公共阅读空间建设，打造全区文化生活新阵地，组织文化进基层演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场以上，满足群众多样化文化需求。加强文化遗产保护利用，抓好文物保护修缮，加强非遗项目和传承人发掘培育，打造“非遗街区”“山东手造”非遗工坊；发挥“大师回博山”品牌效应，创新“陶琉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+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文旅”“陶琉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+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电商”互融共进模式，打造博山特色旅游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IP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（四）城市建设换挡提速，生态环境更加优美。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加快城市更新建设，实施大街片区、北岭片区等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个片区老旧小区改造工程，改造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560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栋楼，面积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149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万平方米，惠及群众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2.1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万户；实施自来水管网改造提升工程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公里；推进人民路、珑山路铁路桥段高温水供热工程，新增供热面积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万平方米；新建燃气管网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公里，新增天然气入户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3000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户；完成雨污分流工程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45.8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公里，实现整区制合流管网清零；高标准实施西冶街片区城市更新项目，全面提升西冶街片区环境面貌、文化品位和经济活力。加快城市功能完善，实施县道焦磁路、东过境路等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公里道路提升工程，建设综合能源港，配备加油、加氢、充电等综合性能源设施；适时启动城市客厅项目建设，打造博山城市发展新地标；配合做好临临高速博山段、张博铁路电气化改造工程建设。加快城市管理优化，推进全域公园城市建设，新改建石沟河、沙沟河湿地公园等公园游园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个，改扩绿地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万平方米；落实“四位一体”物业管理机制，打造智慧物业示范小区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个。加快生态环境治理，健全完善河长制、林长制，实施淄河河道治理工程和孝妇河文化休闲生态观光带二期建设，积极推进岳阳河等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条美丽幸福河湖创建，新增造林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亩，孝妇河西龙角出境断面主要指标实现长期稳定改善，土壤安全利用率保持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，空气质量优良率、各项空气指数持续改善。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3"/>
        <w:jc w:val="both"/>
      </w:pPr>
      <w:r>
        <w:rPr>
          <w:rStyle w:val="7"/>
          <w:rFonts w:hint="eastAsia" w:ascii="楷体_GB2312" w:eastAsia="楷体_GB2312" w:cs="楷体_GB2312"/>
          <w:sz w:val="32"/>
          <w:szCs w:val="32"/>
        </w:rPr>
        <w:t>（五）品质民生再创优绩，社会事业全面发展。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优化提升教育体系，启动国家级学前教育普及普惠县和义务教育优质均衡县创建，普惠性幼儿园覆盖率达到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90%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以上，公办园在园幼儿占比达到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以上；推动城东中心学校、淄博工贸学校新校区等项目建设；加快普通高中与职业中学融通发展，引进优质职业教育资源，探索与知名教育集团、社会资本合作办学模式。加强公共卫生服务体系建设，新建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智慧型预防接种门诊，完成区医院新建业务楼及旧病房楼改造提升，启动区中医院感染性疾病楼建设，推进国家紧密型区域医共体试点建设，深化与省立医院等知名医院合作共建。持续完善医疗保障政策，城乡居民门诊慢特病报销比例由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55%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以上提高到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60%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以上，规范化建设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160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家基层医保服务站点，探索开展职工癌症早诊早治结算试点。强化民生服务保障，新建“五以七进”示范点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处，新建长者食堂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处；以区文化中心为总抓手，辐射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家分馆，带动和激活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290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个村级基层综合性文化服务中心；实施“文化乐民、服务共享”民生工程，举办各类文化活动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6000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余场；新增城镇就业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1500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人以上，引进大学生等青年人才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1000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人，新增省级博士后创新实践基地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1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家。营造稳定社会环境，推进扫黑除恶专项斗争常态化，加强社会面巡防巡控，增加路面见警率；创新完善矛盾纠纷多元化解机制和信访制度，坚持和发展新时代“枫桥经验”，推深做实“一网三联”，提升基层治理现代化能力和水平。统筹发展和安全，防范化解各类风险隐患，守牢安全生产底线，确保人民生命健康安全，经济社会发展和谐稳定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76" w:lineRule="exac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各位代表，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</w:rPr>
        <w:t>2023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</w:rPr>
        <w:t>年博山踏上发展的新征程，展望未来，任重道远。我们将在中共博山区委的坚强领导下，守正创新、团结拼搏、勇毅前行，全面完成今年各项任务，谱写博山绿色低碳高质量发展新篇章！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beforeAutospacing="0" w:afterAutospacing="0" w:line="576" w:lineRule="exact"/>
      </w:pPr>
    </w:p>
    <w:sectPr>
      <w:footerReference r:id="rId3" w:type="default"/>
      <w:pgSz w:w="11906" w:h="16838"/>
      <w:pgMar w:top="2098" w:right="1531" w:bottom="1984" w:left="1587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-487680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8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vLcRNgAAAAM&#10;AQAADwAAAGRycy9kb3ducmV2LnhtbE2PwU7DMAyG70i8Q2QkbluSDq1TaTqJiXJEYuXAMWtMW2iS&#10;Ksm68vZ4Jzja/vT7+8v9Ykc2Y4iDdwrkWgBD13ozuE7Be1OvdsBi0s7o0TtU8IMR9tXtTakL4y/u&#10;Dedj6hiFuFhoBX1KU8F5bHu0Oq79hI5unz5YnWgMHTdBXyjcjjwTYsutHhx96PWEhx7b7+PZKjjU&#10;TRNmjGH8wJd68/X69IDPi1L3d1I8Aku4pD8YrvqkDhU5nfzZmchGBflukxOqYJVvqcOVELmk1UlB&#10;JmUGvCr5/xLVL1BLAwQUAAAACACHTuJASLb2J9wCAAAkBgAADgAAAGRycy9lMm9Eb2MueG1srVTN&#10;btQwEL4j8Q6W72mSbbrNRs1W202DkCpaqSDOXsfZWDi2ZXt/CuIKb8CJC3eeq8/BONnstgWhSrCH&#10;7Ngznpnvm5+z820r0JoZy5XMcXwUYcQkVRWXyxy/e1sGKUbWEVkRoSTL8R2z+Hz68sXZRmdspBol&#10;KmYQOJE22+gcN87pLAwtbVhL7JHSTIKyVqYlDo5mGVaGbMB7K8JRFI3DjTKVNooya+G26JV459E8&#10;x6Gqa05ZoeiqZdL1Xg0TxAEk23Bt8bTLtq4Zddd1bZlDIseA1HVfCALywn/D6RnJlobohtNdCuQ5&#10;KTzB1BIuIejeVUEcQSvDf3PVcmqUVbU7oqoNeyAdI4Aijp5wc9sQzTosQLXVe9Lt/3NL36xvDOIV&#10;dAJGkrRQ8PtvX++//7z/8QXFnp6NthlY3Wqwc9sLtfWmu3sLlx71tjat/wc8CPRA7t2eXLZ1iPpH&#10;6ShNI1BR0A0H8BMenmtj3SumWuSFHBuoXkcqWV9Z15sOJj6aVCUXAu5JJiTa5Hh8fBJ1D/YacC6k&#10;N4AswMdO6ivzaRJNLtPLNAmS0fgySKKiCGblPAnGZXx6UhwX83kRf/b+4iRreFUx6eMNXRInz6vC&#10;rlP6+u77xCrBK+/Op2TNcjEXBq0JdGnZ/TzDkPwDs/BxGp0aUD2BFI+S6GI0CcpxehokZXISTE6j&#10;NIjiycVkHCWTpCgfQ7rikv07pEfsP0iaZL5ge2wLQeiHv0Lz6RygAQND4ULfh32/ecltF1ugyIsL&#10;Vd1BbxrVD7fVtOQQ9IpYd0MMTDP0HOw7dw2fWijoE7WTMGqU+fine28P5QUtRhvYDjmWsAwxEq8l&#10;DB84dINgBmExCHLVzhUUEgYKculEeGCcGMTaqPY9LMGZjwEqIilEyrEbxLnrNxQsUcpms85opQ1f&#10;Nv0DWB2auCt5q6kP07WQnq0czEM3JgdWgEp/gOXRkbpbdH47PTx3VoflPv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kvLcRNgAAAAMAQAADwAAAAAAAAABACAAAAAiAAAAZHJzL2Rvd25yZXYueG1s&#10;UEsBAhQAFAAAAAgAh07iQEi29ifcAgAAJAYAAA4AAAAAAAAAAQAgAAAAJwEAAGRycy9lMm9Eb2Mu&#10;eG1sUEsFBgAAAAAGAAYAWQEAAHU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t>—</w:t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lang w:eastAsia="zh-CN"/>
                      </w:rPr>
                      <w:t xml:space="preserve"> </w:t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Nzg4MmJiZTgwYTdlMzA5NjgxMzIyM2U4ZTIzZDQifQ=="/>
  </w:docVars>
  <w:rsids>
    <w:rsidRoot w:val="56AE2BB4"/>
    <w:rsid w:val="56A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2024-03-27T08:14:00Z</dcterms:created>
  <dc:creator>Administrator</dc:creator>
  <cp:lastModifiedBy>Administrator</cp:lastModifiedBy>
  <dcterms:modified xsi:type="dcterms:W3CDTF">2024-03-27T08:18:58Z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BBDA47641C4747B098C18E94171CC88E_11</vt:lpwstr>
  </property>
</Properties>
</file>